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44F8A" w14:textId="15C5A4FF" w:rsidR="0010707B" w:rsidRDefault="00EB1E45" w:rsidP="00B35082">
      <w:pPr>
        <w:rPr>
          <w:szCs w:val="20"/>
        </w:rPr>
      </w:pPr>
      <w:bookmarkStart w:id="0" w:name="_GoBack"/>
      <w:bookmarkEnd w:id="0"/>
      <w:r>
        <w:rPr>
          <w:szCs w:val="20"/>
        </w:rPr>
        <w:t>Welcome to</w:t>
      </w:r>
      <w:r w:rsidR="0033337A">
        <w:rPr>
          <w:szCs w:val="20"/>
        </w:rPr>
        <w:t xml:space="preserve"> the </w:t>
      </w:r>
      <w:r w:rsidR="0033337A" w:rsidRPr="0033337A">
        <w:rPr>
          <w:szCs w:val="20"/>
        </w:rPr>
        <w:t xml:space="preserve">Southface </w:t>
      </w:r>
      <w:r w:rsidR="00687D1B">
        <w:rPr>
          <w:szCs w:val="20"/>
        </w:rPr>
        <w:t xml:space="preserve">Small Commercial </w:t>
      </w:r>
      <w:r w:rsidR="0010707B">
        <w:rPr>
          <w:szCs w:val="20"/>
        </w:rPr>
        <w:t xml:space="preserve">Combustion </w:t>
      </w:r>
      <w:r w:rsidR="00FC6D6F">
        <w:rPr>
          <w:szCs w:val="20"/>
        </w:rPr>
        <w:t>Appliance</w:t>
      </w:r>
      <w:r w:rsidR="00687D1B">
        <w:rPr>
          <w:szCs w:val="20"/>
        </w:rPr>
        <w:t xml:space="preserve"> Toolkit</w:t>
      </w:r>
      <w:r w:rsidR="00FC6D6F">
        <w:rPr>
          <w:szCs w:val="20"/>
        </w:rPr>
        <w:t>!</w:t>
      </w:r>
      <w:r w:rsidR="0033337A">
        <w:rPr>
          <w:szCs w:val="20"/>
        </w:rPr>
        <w:t xml:space="preserve">  The toolkit was </w:t>
      </w:r>
      <w:r w:rsidR="0022119F">
        <w:rPr>
          <w:szCs w:val="20"/>
        </w:rPr>
        <w:t>developed</w:t>
      </w:r>
      <w:r w:rsidR="0033337A">
        <w:rPr>
          <w:szCs w:val="20"/>
        </w:rPr>
        <w:t xml:space="preserve"> by Southface through the Advanced Commercial Buildings Initiative in partnership with the U.S. Department of Energy.  </w:t>
      </w:r>
      <w:r w:rsidR="0010707B">
        <w:rPr>
          <w:szCs w:val="20"/>
        </w:rPr>
        <w:t>The toolkit is intended</w:t>
      </w:r>
      <w:r w:rsidR="00687D1B">
        <w:rPr>
          <w:szCs w:val="20"/>
        </w:rPr>
        <w:t xml:space="preserve"> to be used by ind</w:t>
      </w:r>
      <w:r w:rsidR="0010707B">
        <w:rPr>
          <w:szCs w:val="20"/>
        </w:rPr>
        <w:t xml:space="preserve">ustry professionals to assess combustion appliances </w:t>
      </w:r>
      <w:r w:rsidR="00687D1B">
        <w:rPr>
          <w:szCs w:val="20"/>
        </w:rPr>
        <w:t>in small commercial buildings</w:t>
      </w:r>
      <w:r w:rsidR="0010707B">
        <w:rPr>
          <w:szCs w:val="20"/>
        </w:rPr>
        <w:t xml:space="preserve"> with respect to the building as a system</w:t>
      </w:r>
      <w:r w:rsidR="00687D1B">
        <w:rPr>
          <w:szCs w:val="20"/>
        </w:rPr>
        <w:t>,</w:t>
      </w:r>
      <w:r w:rsidR="0010707B">
        <w:rPr>
          <w:szCs w:val="20"/>
        </w:rPr>
        <w:t xml:space="preserve"> and to identify potential combustion safety hazards.  The toolkit is not intended to replace any combustion equipment preventative service and maintenance procedures, but rather to add to the visual assessment of combustion equipment during building energy and water assessment walkthroughs.   </w:t>
      </w:r>
      <w:r w:rsidR="00687D1B">
        <w:rPr>
          <w:szCs w:val="20"/>
        </w:rPr>
        <w:t xml:space="preserve"> </w:t>
      </w:r>
    </w:p>
    <w:p w14:paraId="657B601C" w14:textId="178ACB00" w:rsidR="00687D1B" w:rsidRDefault="00D45E25" w:rsidP="00B35082">
      <w:pPr>
        <w:rPr>
          <w:szCs w:val="20"/>
        </w:rPr>
      </w:pPr>
      <w:r>
        <w:rPr>
          <w:szCs w:val="20"/>
        </w:rPr>
        <w:t xml:space="preserve">Intended users of the toolkit include </w:t>
      </w:r>
      <w:r w:rsidR="0022119F">
        <w:rPr>
          <w:szCs w:val="20"/>
        </w:rPr>
        <w:t xml:space="preserve">facility managers, </w:t>
      </w:r>
      <w:r>
        <w:rPr>
          <w:szCs w:val="20"/>
        </w:rPr>
        <w:t xml:space="preserve">engineers, HERS Raters and BPI Building Analysts, and other individuals with a foundation in building science, building-as-a-system </w:t>
      </w:r>
      <w:r w:rsidR="007E3D80">
        <w:rPr>
          <w:szCs w:val="20"/>
        </w:rPr>
        <w:t xml:space="preserve">evaluation, </w:t>
      </w:r>
      <w:r>
        <w:rPr>
          <w:szCs w:val="20"/>
        </w:rPr>
        <w:t xml:space="preserve">and basic engineering principles.  </w:t>
      </w:r>
    </w:p>
    <w:p w14:paraId="0EB6DB83" w14:textId="00F78E89" w:rsidR="00114AFA" w:rsidRDefault="00687D1B" w:rsidP="00B35082">
      <w:pPr>
        <w:rPr>
          <w:szCs w:val="20"/>
        </w:rPr>
      </w:pPr>
      <w:r>
        <w:rPr>
          <w:szCs w:val="20"/>
        </w:rPr>
        <w:t xml:space="preserve">The toolkit contains </w:t>
      </w:r>
      <w:r w:rsidR="00FC6D6F">
        <w:rPr>
          <w:szCs w:val="20"/>
        </w:rPr>
        <w:t xml:space="preserve">a combustion </w:t>
      </w:r>
      <w:r>
        <w:rPr>
          <w:szCs w:val="20"/>
        </w:rPr>
        <w:t xml:space="preserve">assessment </w:t>
      </w:r>
      <w:r w:rsidR="00FC6D6F">
        <w:rPr>
          <w:szCs w:val="20"/>
        </w:rPr>
        <w:t>workbook and</w:t>
      </w:r>
      <w:r w:rsidR="0010707B">
        <w:rPr>
          <w:szCs w:val="20"/>
        </w:rPr>
        <w:t xml:space="preserve"> supplemental </w:t>
      </w:r>
      <w:r w:rsidR="00FC6D6F">
        <w:rPr>
          <w:szCs w:val="20"/>
        </w:rPr>
        <w:t>guidelines</w:t>
      </w:r>
      <w:r w:rsidR="0010707B">
        <w:rPr>
          <w:szCs w:val="20"/>
        </w:rPr>
        <w:t xml:space="preserve"> reviewing common combustion issues and solutions in small commercial facilities.</w:t>
      </w:r>
      <w:r>
        <w:rPr>
          <w:szCs w:val="20"/>
        </w:rPr>
        <w:t xml:space="preserve">  </w:t>
      </w:r>
    </w:p>
    <w:p w14:paraId="180FD84E" w14:textId="34DC6204" w:rsidR="00F76886" w:rsidRDefault="00F76886" w:rsidP="00B35082">
      <w:pPr>
        <w:rPr>
          <w:szCs w:val="20"/>
        </w:rPr>
      </w:pPr>
      <w:r>
        <w:rPr>
          <w:szCs w:val="20"/>
        </w:rPr>
        <w:t xml:space="preserve">The </w:t>
      </w:r>
      <w:r w:rsidR="00434440" w:rsidRPr="00434440">
        <w:rPr>
          <w:b/>
          <w:szCs w:val="20"/>
        </w:rPr>
        <w:t>S</w:t>
      </w:r>
      <w:r w:rsidR="0010707B">
        <w:rPr>
          <w:b/>
          <w:szCs w:val="20"/>
        </w:rPr>
        <w:t xml:space="preserve">mall </w:t>
      </w:r>
      <w:r w:rsidR="00434440">
        <w:rPr>
          <w:b/>
          <w:szCs w:val="20"/>
        </w:rPr>
        <w:t>C</w:t>
      </w:r>
      <w:r w:rsidR="0010707B">
        <w:rPr>
          <w:b/>
          <w:szCs w:val="20"/>
        </w:rPr>
        <w:t xml:space="preserve">ommercial </w:t>
      </w:r>
      <w:r w:rsidR="00434440">
        <w:rPr>
          <w:b/>
          <w:szCs w:val="20"/>
        </w:rPr>
        <w:t>C</w:t>
      </w:r>
      <w:r w:rsidR="0010707B">
        <w:rPr>
          <w:b/>
          <w:szCs w:val="20"/>
        </w:rPr>
        <w:t>ombustion</w:t>
      </w:r>
      <w:r w:rsidR="006B5203">
        <w:rPr>
          <w:b/>
          <w:szCs w:val="20"/>
        </w:rPr>
        <w:t xml:space="preserve"> Appliance </w:t>
      </w:r>
      <w:r w:rsidR="00434440">
        <w:rPr>
          <w:b/>
          <w:szCs w:val="20"/>
        </w:rPr>
        <w:t>A</w:t>
      </w:r>
      <w:r w:rsidR="0010707B">
        <w:rPr>
          <w:b/>
          <w:szCs w:val="20"/>
        </w:rPr>
        <w:t xml:space="preserve">ssessment </w:t>
      </w:r>
      <w:r w:rsidR="00434440">
        <w:rPr>
          <w:b/>
          <w:szCs w:val="20"/>
        </w:rPr>
        <w:t>W</w:t>
      </w:r>
      <w:r w:rsidR="0010707B">
        <w:rPr>
          <w:b/>
          <w:szCs w:val="20"/>
        </w:rPr>
        <w:t>orkbook</w:t>
      </w:r>
      <w:r>
        <w:rPr>
          <w:szCs w:val="20"/>
        </w:rPr>
        <w:t xml:space="preserve"> </w:t>
      </w:r>
      <w:r w:rsidR="00114AFA">
        <w:rPr>
          <w:szCs w:val="20"/>
        </w:rPr>
        <w:t xml:space="preserve">provides </w:t>
      </w:r>
      <w:r w:rsidR="00D45E25">
        <w:rPr>
          <w:szCs w:val="20"/>
        </w:rPr>
        <w:t xml:space="preserve">detailed guidance for the assessor in each step of the </w:t>
      </w:r>
      <w:r w:rsidR="007277C9">
        <w:rPr>
          <w:szCs w:val="20"/>
        </w:rPr>
        <w:t>combustion assessment process with a template for collecting site-visit and testing d</w:t>
      </w:r>
      <w:r w:rsidR="00FC6D6F">
        <w:rPr>
          <w:szCs w:val="20"/>
        </w:rPr>
        <w:t xml:space="preserve">ata.  </w:t>
      </w:r>
      <w:proofErr w:type="gramStart"/>
      <w:r w:rsidR="00FC6D6F" w:rsidRPr="003A5C12">
        <w:rPr>
          <w:i/>
          <w:color w:val="FF0000"/>
          <w:szCs w:val="20"/>
        </w:rPr>
        <w:t>The extent to which this workbook</w:t>
      </w:r>
      <w:r w:rsidR="007277C9" w:rsidRPr="003A5C12">
        <w:rPr>
          <w:i/>
          <w:color w:val="FF0000"/>
          <w:szCs w:val="20"/>
        </w:rPr>
        <w:t xml:space="preserve"> is used in the field and which tests are performed, is up to the discretion of the assessor</w:t>
      </w:r>
      <w:r w:rsidR="007277C9">
        <w:rPr>
          <w:szCs w:val="20"/>
        </w:rPr>
        <w:t>.</w:t>
      </w:r>
      <w:proofErr w:type="gramEnd"/>
      <w:r w:rsidR="00FC6D6F">
        <w:rPr>
          <w:szCs w:val="20"/>
        </w:rPr>
        <w:t xml:space="preserve">  The criteria used for compliance in the workbook is based on input from the ACCA/RESNET Standard 12, ANSI/BPI 1200-S-2015, National Fire Protection Agency 54/ANSI </w:t>
      </w:r>
      <w:proofErr w:type="gramStart"/>
      <w:r w:rsidR="00FC6D6F">
        <w:rPr>
          <w:szCs w:val="20"/>
        </w:rPr>
        <w:t>Z223.1, International Building Code, International Fuel Gas Code, and International Residential Code.</w:t>
      </w:r>
      <w:proofErr w:type="gramEnd"/>
      <w:r w:rsidR="007277C9">
        <w:rPr>
          <w:szCs w:val="20"/>
        </w:rPr>
        <w:t xml:space="preserve"> </w:t>
      </w:r>
      <w:r w:rsidR="00A92475">
        <w:rPr>
          <w:szCs w:val="20"/>
        </w:rPr>
        <w:t xml:space="preserve">  </w:t>
      </w:r>
      <w:r w:rsidR="00114AFA">
        <w:rPr>
          <w:szCs w:val="20"/>
        </w:rPr>
        <w:t xml:space="preserve"> </w:t>
      </w:r>
    </w:p>
    <w:p w14:paraId="78DFC818" w14:textId="429A74CC" w:rsidR="00F76886" w:rsidRDefault="005045D7" w:rsidP="00434440">
      <w:pPr>
        <w:rPr>
          <w:szCs w:val="20"/>
        </w:rPr>
      </w:pPr>
      <w:r>
        <w:rPr>
          <w:szCs w:val="20"/>
        </w:rPr>
        <w:t xml:space="preserve">The </w:t>
      </w:r>
      <w:r w:rsidR="00FC6D6F">
        <w:rPr>
          <w:b/>
          <w:szCs w:val="20"/>
        </w:rPr>
        <w:t xml:space="preserve">Small Commercial Building Assessment </w:t>
      </w:r>
      <w:r w:rsidR="00434440">
        <w:rPr>
          <w:b/>
          <w:szCs w:val="20"/>
        </w:rPr>
        <w:t>Comb</w:t>
      </w:r>
      <w:r w:rsidR="00FC6D6F">
        <w:rPr>
          <w:b/>
          <w:szCs w:val="20"/>
        </w:rPr>
        <w:t xml:space="preserve">ustion Appliance Guidelines </w:t>
      </w:r>
      <w:r w:rsidR="00A92475">
        <w:rPr>
          <w:szCs w:val="20"/>
        </w:rPr>
        <w:t xml:space="preserve">provide </w:t>
      </w:r>
      <w:r w:rsidR="00FC6D6F">
        <w:rPr>
          <w:szCs w:val="20"/>
        </w:rPr>
        <w:t xml:space="preserve">an </w:t>
      </w:r>
      <w:r w:rsidR="00434440">
        <w:rPr>
          <w:szCs w:val="20"/>
        </w:rPr>
        <w:t xml:space="preserve">overview of considerations related to combustion air with respect to building-as-a-system analysis, and best practice recommendations for combustion air supply and ventilation.  The guidelines also review common types and categories of combustion appliances encountered in small commercial buildings, and provide </w:t>
      </w:r>
      <w:r w:rsidR="003A5C12">
        <w:rPr>
          <w:szCs w:val="20"/>
        </w:rPr>
        <w:t xml:space="preserve">numerous </w:t>
      </w:r>
      <w:r w:rsidR="00434440">
        <w:rPr>
          <w:szCs w:val="20"/>
        </w:rPr>
        <w:t xml:space="preserve">case studies of real-world combustion safety scenarios.  </w:t>
      </w:r>
    </w:p>
    <w:p w14:paraId="33DFBBF8" w14:textId="296951D6" w:rsidR="007E3D80" w:rsidRPr="002C4699" w:rsidRDefault="007E3D80" w:rsidP="00B35082">
      <w:pPr>
        <w:rPr>
          <w:szCs w:val="20"/>
        </w:rPr>
      </w:pPr>
      <w:r>
        <w:rPr>
          <w:szCs w:val="20"/>
        </w:rPr>
        <w:t xml:space="preserve">There are many resources available to further assist your </w:t>
      </w:r>
      <w:r w:rsidR="0006636B">
        <w:rPr>
          <w:szCs w:val="20"/>
        </w:rPr>
        <w:t>combustion appliance assessment</w:t>
      </w:r>
      <w:r>
        <w:rPr>
          <w:szCs w:val="20"/>
        </w:rPr>
        <w:t xml:space="preserve"> services.  </w:t>
      </w:r>
      <w:r w:rsidR="002C7CCB" w:rsidRPr="002C4699">
        <w:rPr>
          <w:szCs w:val="20"/>
        </w:rPr>
        <w:t xml:space="preserve">The appendix to this introduction contains </w:t>
      </w:r>
      <w:r w:rsidRPr="002C4699">
        <w:rPr>
          <w:szCs w:val="20"/>
        </w:rPr>
        <w:t xml:space="preserve">a list of resources </w:t>
      </w:r>
      <w:r w:rsidR="002C4699" w:rsidRPr="002C4699">
        <w:rPr>
          <w:szCs w:val="20"/>
        </w:rPr>
        <w:t>you may find useful</w:t>
      </w:r>
      <w:r w:rsidRPr="002C4699">
        <w:rPr>
          <w:szCs w:val="20"/>
        </w:rPr>
        <w:t>.</w:t>
      </w:r>
    </w:p>
    <w:p w14:paraId="3C0C42A5" w14:textId="2CEA5FE0" w:rsidR="00B35082" w:rsidRPr="002C4699" w:rsidRDefault="00B35082" w:rsidP="00B35082">
      <w:pPr>
        <w:rPr>
          <w:szCs w:val="20"/>
        </w:rPr>
      </w:pPr>
      <w:r w:rsidRPr="002C4699">
        <w:rPr>
          <w:szCs w:val="20"/>
        </w:rPr>
        <w:t xml:space="preserve">We have intentionally kept all of the templates in simple formats so that you may customize them to meet your team’s needs.  </w:t>
      </w:r>
      <w:r w:rsidR="002C4699" w:rsidRPr="002C4699">
        <w:rPr>
          <w:szCs w:val="20"/>
        </w:rPr>
        <w:t>If you come across a protected sheet in the workbooks, simply click on the File tab and select “unprotect sheet”</w:t>
      </w:r>
      <w:r w:rsidRPr="002C4699">
        <w:rPr>
          <w:szCs w:val="20"/>
        </w:rPr>
        <w:t xml:space="preserve"> as no passwords are applied. </w:t>
      </w:r>
    </w:p>
    <w:p w14:paraId="3D658C95" w14:textId="6A380F6F" w:rsidR="001F63FB" w:rsidRPr="002C4699" w:rsidRDefault="00114AFA" w:rsidP="00B35082">
      <w:pPr>
        <w:rPr>
          <w:szCs w:val="20"/>
        </w:rPr>
      </w:pPr>
      <w:r w:rsidRPr="002C4699">
        <w:rPr>
          <w:szCs w:val="20"/>
        </w:rPr>
        <w:t xml:space="preserve">If you have any questions while using this toolkit, please contact us at 404-872-3549 or </w:t>
      </w:r>
      <w:hyperlink r:id="rId10" w:history="1">
        <w:r w:rsidRPr="002C4699">
          <w:t>info@southface.org</w:t>
        </w:r>
      </w:hyperlink>
      <w:r w:rsidRPr="002C4699">
        <w:rPr>
          <w:szCs w:val="20"/>
        </w:rPr>
        <w:t>.</w:t>
      </w:r>
      <w:r w:rsidR="002C4699">
        <w:rPr>
          <w:szCs w:val="20"/>
        </w:rPr>
        <w:t xml:space="preserve">  To download other toolkits created through the ACBI program please visit </w:t>
      </w:r>
      <w:hyperlink r:id="rId11" w:history="1">
        <w:r w:rsidR="002C4699" w:rsidRPr="00A80F04">
          <w:rPr>
            <w:rStyle w:val="Hyperlink"/>
            <w:szCs w:val="20"/>
          </w:rPr>
          <w:t>www.southface.org/ACBI</w:t>
        </w:r>
      </w:hyperlink>
      <w:r w:rsidR="002C4699">
        <w:rPr>
          <w:szCs w:val="20"/>
        </w:rPr>
        <w:t xml:space="preserve">. </w:t>
      </w:r>
    </w:p>
    <w:p w14:paraId="7BCF0565" w14:textId="113F811B" w:rsidR="001F63FB" w:rsidRPr="002C4699" w:rsidRDefault="001F63FB" w:rsidP="00B35082">
      <w:pPr>
        <w:rPr>
          <w:szCs w:val="20"/>
        </w:rPr>
      </w:pPr>
      <w:r w:rsidRPr="002C4699">
        <w:rPr>
          <w:szCs w:val="20"/>
        </w:rPr>
        <w:t>Thank you for your contributions in advancing building efficiency in the small commercial market!</w:t>
      </w:r>
      <w:r w:rsidR="00114AFA" w:rsidRPr="002C4699">
        <w:rPr>
          <w:szCs w:val="20"/>
        </w:rPr>
        <w:t xml:space="preserve">  Please provide us with your feedback </w:t>
      </w:r>
      <w:r w:rsidR="001B659C" w:rsidRPr="002C4699">
        <w:rPr>
          <w:szCs w:val="20"/>
        </w:rPr>
        <w:t xml:space="preserve">regarding the toolkit </w:t>
      </w:r>
      <w:r w:rsidR="00114AFA" w:rsidRPr="002C4699">
        <w:rPr>
          <w:szCs w:val="20"/>
        </w:rPr>
        <w:t xml:space="preserve">at </w:t>
      </w:r>
      <w:hyperlink r:id="rId12" w:history="1">
        <w:r w:rsidR="001B659C" w:rsidRPr="002C4699">
          <w:rPr>
            <w:rStyle w:val="Hyperlink"/>
            <w:szCs w:val="20"/>
          </w:rPr>
          <w:t>http://www.surveygizmo.com/s3/2689567/ACBI-Toolkit-Feedback</w:t>
        </w:r>
      </w:hyperlink>
      <w:r w:rsidR="00114AFA" w:rsidRPr="002C4699">
        <w:rPr>
          <w:szCs w:val="20"/>
        </w:rPr>
        <w:t>.</w:t>
      </w:r>
    </w:p>
    <w:p w14:paraId="500EE8A7" w14:textId="77777777" w:rsidR="00CC4591" w:rsidRPr="002C4699" w:rsidRDefault="00CC4591" w:rsidP="00B35082">
      <w:pPr>
        <w:rPr>
          <w:szCs w:val="20"/>
        </w:rPr>
      </w:pPr>
      <w:r w:rsidRPr="002C4699">
        <w:rPr>
          <w:szCs w:val="20"/>
        </w:rPr>
        <w:t>Sincerely,</w:t>
      </w:r>
    </w:p>
    <w:p w14:paraId="67003D56" w14:textId="77777777" w:rsidR="0033337A" w:rsidRPr="001F63FB" w:rsidRDefault="001F63FB" w:rsidP="00B35082">
      <w:pPr>
        <w:rPr>
          <w:szCs w:val="20"/>
        </w:rPr>
      </w:pPr>
      <w:r w:rsidRPr="002C4699">
        <w:rPr>
          <w:szCs w:val="20"/>
        </w:rPr>
        <w:lastRenderedPageBreak/>
        <w:t>The ACBI Team at Southface</w:t>
      </w:r>
      <w:r>
        <w:rPr>
          <w:szCs w:val="20"/>
        </w:rPr>
        <w:t xml:space="preserve">  </w:t>
      </w:r>
    </w:p>
    <w:p w14:paraId="0F3DF0F3" w14:textId="77777777" w:rsidR="001F63FB" w:rsidRPr="00B35082" w:rsidRDefault="001F63FB" w:rsidP="0033337A">
      <w:pPr>
        <w:spacing w:after="0"/>
        <w:rPr>
          <w:b/>
          <w:szCs w:val="20"/>
        </w:rPr>
      </w:pPr>
      <w:r w:rsidRPr="00B35082">
        <w:rPr>
          <w:b/>
          <w:szCs w:val="20"/>
        </w:rPr>
        <w:t>Disclaimer</w:t>
      </w:r>
    </w:p>
    <w:p w14:paraId="3E51ADA1" w14:textId="27D81D0A" w:rsidR="00687D1B" w:rsidRPr="00502475" w:rsidRDefault="00687D1B" w:rsidP="00687D1B">
      <w:r w:rsidRPr="00502475">
        <w:t xml:space="preserve">Southface provides the Southface </w:t>
      </w:r>
      <w:r w:rsidR="002C4699">
        <w:rPr>
          <w:szCs w:val="20"/>
        </w:rPr>
        <w:t>Small Commercial Combustion Appliance Toolkit</w:t>
      </w:r>
      <w:r w:rsidRPr="00502475">
        <w:t xml:space="preserve"> (Toolkit) for voluntary use by industry professionals in compliance with all relevant safety and building requirements and standards.  Southface makes no warranties, expressed or implied, regarding the procedures and information contained in the Toolkit. Southface has no control over the implementation or modification of the Toolkit by users, provides no warranty, and assumes no liability or responsibility for any and all consequences of the implementation of the Toolkit.  </w:t>
      </w:r>
    </w:p>
    <w:p w14:paraId="4751B322" w14:textId="77777777" w:rsidR="002C7CCB" w:rsidRDefault="002C7CCB" w:rsidP="00687D1B">
      <w:pPr>
        <w:spacing w:after="0"/>
        <w:rPr>
          <w:szCs w:val="20"/>
        </w:rPr>
        <w:sectPr w:rsidR="002C7CCB" w:rsidSect="00114AFA">
          <w:headerReference w:type="default" r:id="rId13"/>
          <w:footerReference w:type="default" r:id="rId14"/>
          <w:headerReference w:type="first" r:id="rId15"/>
          <w:footerReference w:type="first" r:id="rId16"/>
          <w:pgSz w:w="12240" w:h="15840"/>
          <w:pgMar w:top="1800" w:right="1440" w:bottom="1170" w:left="1440" w:header="720" w:footer="720" w:gutter="0"/>
          <w:cols w:space="720"/>
          <w:titlePg/>
          <w:docGrid w:linePitch="360"/>
        </w:sectPr>
      </w:pPr>
    </w:p>
    <w:p w14:paraId="5651528C" w14:textId="6F708B65" w:rsidR="00C32D78" w:rsidRDefault="001B659C" w:rsidP="001B659C">
      <w:pPr>
        <w:pStyle w:val="Heading1"/>
      </w:pPr>
      <w:r>
        <w:lastRenderedPageBreak/>
        <w:t xml:space="preserve">Appendix – </w:t>
      </w:r>
      <w:r w:rsidR="002C4699">
        <w:t>Combustion Appliance</w:t>
      </w:r>
      <w:r>
        <w:t xml:space="preserve"> Assessment Resources </w:t>
      </w:r>
    </w:p>
    <w:p w14:paraId="1F3BB02E" w14:textId="13DCF004" w:rsidR="0088061E" w:rsidRPr="00C32D78" w:rsidRDefault="0088061E" w:rsidP="0088061E">
      <w:pPr>
        <w:rPr>
          <w:lang w:eastAsia="en-US"/>
        </w:rPr>
      </w:pPr>
      <w:r>
        <w:rPr>
          <w:lang w:eastAsia="en-US"/>
        </w:rPr>
        <w:t xml:space="preserve">Southface has found the following list of resources useful when conducting </w:t>
      </w:r>
      <w:r w:rsidR="002C4699">
        <w:rPr>
          <w:lang w:eastAsia="en-US"/>
        </w:rPr>
        <w:t>combustion appliance</w:t>
      </w:r>
      <w:r>
        <w:rPr>
          <w:lang w:eastAsia="en-US"/>
        </w:rPr>
        <w:t xml:space="preserve"> assessments.  Southface is not responsible for any of the content contained in or created by these resources, and does not warranty the accuracy of the resources.  This last was last updated in April 2016.  If links do not work, Southface recommends searching the parent website for the tool or conducting a general internet search as websites often change.  </w:t>
      </w:r>
    </w:p>
    <w:tbl>
      <w:tblPr>
        <w:tblStyle w:val="TableGrid"/>
        <w:tblW w:w="0" w:type="auto"/>
        <w:tblLook w:val="04A0" w:firstRow="1" w:lastRow="0" w:firstColumn="1" w:lastColumn="0" w:noHBand="0" w:noVBand="1"/>
      </w:tblPr>
      <w:tblGrid>
        <w:gridCol w:w="2772"/>
        <w:gridCol w:w="2685"/>
        <w:gridCol w:w="7629"/>
      </w:tblGrid>
      <w:tr w:rsidR="00D91E5C" w14:paraId="2A9D0AD7" w14:textId="77777777" w:rsidTr="00315B66">
        <w:trPr>
          <w:trHeight w:val="255"/>
        </w:trPr>
        <w:tc>
          <w:tcPr>
            <w:tcW w:w="3211" w:type="dxa"/>
          </w:tcPr>
          <w:p w14:paraId="02F9F9E4" w14:textId="0096558F" w:rsidR="00D91E5C" w:rsidRPr="00417874" w:rsidRDefault="00D91E5C" w:rsidP="00D91E5C">
            <w:pPr>
              <w:rPr>
                <w:b/>
                <w:lang w:eastAsia="en-US"/>
              </w:rPr>
            </w:pPr>
            <w:commentRangeStart w:id="1"/>
            <w:r w:rsidRPr="00417874">
              <w:rPr>
                <w:b/>
                <w:lang w:eastAsia="en-US"/>
              </w:rPr>
              <w:t>Type of Resource:</w:t>
            </w:r>
            <w:commentRangeEnd w:id="1"/>
            <w:r>
              <w:rPr>
                <w:rStyle w:val="CommentReference"/>
              </w:rPr>
              <w:commentReference w:id="1"/>
            </w:r>
          </w:p>
        </w:tc>
        <w:tc>
          <w:tcPr>
            <w:tcW w:w="3087" w:type="dxa"/>
          </w:tcPr>
          <w:p w14:paraId="4AF4558D" w14:textId="62672179" w:rsidR="00D91E5C" w:rsidRPr="00417874" w:rsidRDefault="00D91E5C" w:rsidP="00D91E5C">
            <w:pPr>
              <w:rPr>
                <w:b/>
                <w:lang w:eastAsia="en-US"/>
              </w:rPr>
            </w:pPr>
            <w:r w:rsidRPr="00417874">
              <w:rPr>
                <w:b/>
                <w:lang w:eastAsia="en-US"/>
              </w:rPr>
              <w:t>Resource Source:</w:t>
            </w:r>
          </w:p>
        </w:tc>
        <w:tc>
          <w:tcPr>
            <w:tcW w:w="6591" w:type="dxa"/>
          </w:tcPr>
          <w:p w14:paraId="1A82E522" w14:textId="297BFA2F" w:rsidR="00D91E5C" w:rsidRPr="00417874" w:rsidRDefault="00D91E5C" w:rsidP="00D91E5C">
            <w:pPr>
              <w:rPr>
                <w:b/>
                <w:lang w:eastAsia="en-US"/>
              </w:rPr>
            </w:pPr>
            <w:r w:rsidRPr="00417874">
              <w:rPr>
                <w:b/>
                <w:lang w:eastAsia="en-US"/>
              </w:rPr>
              <w:t>Resource Location:</w:t>
            </w:r>
          </w:p>
        </w:tc>
      </w:tr>
      <w:tr w:rsidR="00D91E5C" w14:paraId="503555C7" w14:textId="77777777" w:rsidTr="00315B66">
        <w:trPr>
          <w:trHeight w:val="255"/>
        </w:trPr>
        <w:tc>
          <w:tcPr>
            <w:tcW w:w="3211" w:type="dxa"/>
          </w:tcPr>
          <w:p w14:paraId="65B5AA80" w14:textId="4E72080E" w:rsidR="00D91E5C" w:rsidRPr="00D91E5C" w:rsidRDefault="002E09B2" w:rsidP="00D91E5C">
            <w:pPr>
              <w:rPr>
                <w:lang w:eastAsia="en-US"/>
              </w:rPr>
            </w:pPr>
            <w:r>
              <w:rPr>
                <w:lang w:eastAsia="en-US"/>
              </w:rPr>
              <w:t>Standards &amp; procedures for ventilation and home energy topics.</w:t>
            </w:r>
          </w:p>
        </w:tc>
        <w:tc>
          <w:tcPr>
            <w:tcW w:w="3087" w:type="dxa"/>
          </w:tcPr>
          <w:p w14:paraId="055AECE3" w14:textId="6E929AF3" w:rsidR="00D91E5C" w:rsidRPr="00D91E5C" w:rsidRDefault="00D91E5C" w:rsidP="00D91E5C">
            <w:pPr>
              <w:rPr>
                <w:lang w:eastAsia="en-US"/>
              </w:rPr>
            </w:pPr>
            <w:r w:rsidRPr="00D91E5C">
              <w:rPr>
                <w:lang w:eastAsia="en-US"/>
              </w:rPr>
              <w:t>ACCA/RESNET Standard 12</w:t>
            </w:r>
          </w:p>
        </w:tc>
        <w:tc>
          <w:tcPr>
            <w:tcW w:w="6591" w:type="dxa"/>
          </w:tcPr>
          <w:p w14:paraId="0C3E61A9" w14:textId="77777777" w:rsidR="00D91E5C" w:rsidRPr="00D91E5C" w:rsidRDefault="00D91E5C" w:rsidP="00D91E5C">
            <w:pPr>
              <w:rPr>
                <w:lang w:eastAsia="en-US"/>
              </w:rPr>
            </w:pPr>
          </w:p>
        </w:tc>
      </w:tr>
      <w:tr w:rsidR="00D91E5C" w14:paraId="0DA881F3" w14:textId="77777777" w:rsidTr="00315B66">
        <w:trPr>
          <w:trHeight w:val="255"/>
        </w:trPr>
        <w:tc>
          <w:tcPr>
            <w:tcW w:w="3211" w:type="dxa"/>
          </w:tcPr>
          <w:p w14:paraId="292894C7" w14:textId="0379B790" w:rsidR="00D91E5C" w:rsidRPr="00D91E5C" w:rsidRDefault="002E09B2" w:rsidP="00D91E5C">
            <w:pPr>
              <w:rPr>
                <w:lang w:eastAsia="en-US"/>
              </w:rPr>
            </w:pPr>
            <w:r>
              <w:rPr>
                <w:lang w:eastAsia="en-US"/>
              </w:rPr>
              <w:t>Residential building performance standards.</w:t>
            </w:r>
          </w:p>
        </w:tc>
        <w:tc>
          <w:tcPr>
            <w:tcW w:w="3087" w:type="dxa"/>
          </w:tcPr>
          <w:p w14:paraId="14E055D6" w14:textId="426B2593" w:rsidR="00D91E5C" w:rsidRPr="00D91E5C" w:rsidRDefault="00D91E5C" w:rsidP="00D91E5C">
            <w:pPr>
              <w:rPr>
                <w:lang w:eastAsia="en-US"/>
              </w:rPr>
            </w:pPr>
            <w:r w:rsidRPr="00D91E5C">
              <w:rPr>
                <w:lang w:eastAsia="en-US"/>
              </w:rPr>
              <w:t>ANSI/BPI (1200-S-2015)</w:t>
            </w:r>
          </w:p>
        </w:tc>
        <w:tc>
          <w:tcPr>
            <w:tcW w:w="6591" w:type="dxa"/>
          </w:tcPr>
          <w:p w14:paraId="7D49A76A" w14:textId="3C81C031" w:rsidR="00D91E5C" w:rsidRPr="00D91E5C" w:rsidRDefault="002E09B2" w:rsidP="00D91E5C">
            <w:pPr>
              <w:rPr>
                <w:lang w:eastAsia="en-US"/>
              </w:rPr>
            </w:pPr>
            <w:r w:rsidRPr="002E09B2">
              <w:rPr>
                <w:lang w:eastAsia="en-US"/>
              </w:rPr>
              <w:t>http://www.bpi.org/files/pdf/ANSI%20BPI-1200-S-2015%20Standard%20Practice%20for%20Basic%20Analysis%20of%20Buildings.pdf</w:t>
            </w:r>
          </w:p>
        </w:tc>
      </w:tr>
      <w:tr w:rsidR="00D91E5C" w14:paraId="2FA8C5C2" w14:textId="77777777" w:rsidTr="00315B66">
        <w:trPr>
          <w:trHeight w:val="255"/>
        </w:trPr>
        <w:tc>
          <w:tcPr>
            <w:tcW w:w="3211" w:type="dxa"/>
          </w:tcPr>
          <w:p w14:paraId="148E053F" w14:textId="58B6E713" w:rsidR="00D91E5C" w:rsidRPr="00D91E5C" w:rsidRDefault="002E09B2" w:rsidP="00D91E5C">
            <w:pPr>
              <w:rPr>
                <w:lang w:eastAsia="en-US"/>
              </w:rPr>
            </w:pPr>
            <w:r>
              <w:rPr>
                <w:lang w:eastAsia="en-US"/>
              </w:rPr>
              <w:t>Safety requirements for fuel piping.</w:t>
            </w:r>
          </w:p>
        </w:tc>
        <w:tc>
          <w:tcPr>
            <w:tcW w:w="3087" w:type="dxa"/>
          </w:tcPr>
          <w:p w14:paraId="276BFDAE" w14:textId="5E8EE05C" w:rsidR="00D91E5C" w:rsidRPr="00D91E5C" w:rsidRDefault="00D91E5C" w:rsidP="00D91E5C">
            <w:pPr>
              <w:rPr>
                <w:lang w:eastAsia="en-US"/>
              </w:rPr>
            </w:pPr>
            <w:r w:rsidRPr="00D91E5C">
              <w:rPr>
                <w:lang w:eastAsia="en-US"/>
              </w:rPr>
              <w:t>National Fire Protection Agency (NFPA 54, ANSI Z223.1)</w:t>
            </w:r>
          </w:p>
        </w:tc>
        <w:tc>
          <w:tcPr>
            <w:tcW w:w="6591" w:type="dxa"/>
          </w:tcPr>
          <w:p w14:paraId="74EFD419" w14:textId="59534006" w:rsidR="00D91E5C" w:rsidRPr="00D91E5C" w:rsidRDefault="002E09B2" w:rsidP="00D91E5C">
            <w:pPr>
              <w:rPr>
                <w:lang w:eastAsia="en-US"/>
              </w:rPr>
            </w:pPr>
            <w:r w:rsidRPr="002E09B2">
              <w:rPr>
                <w:lang w:eastAsia="en-US"/>
              </w:rPr>
              <w:t>http://www.nfpa.org/codes-and-standards/document-information-pages?mode=code&amp;code=54</w:t>
            </w:r>
          </w:p>
        </w:tc>
      </w:tr>
      <w:tr w:rsidR="00D91E5C" w14:paraId="300F9F37" w14:textId="77777777" w:rsidTr="00315B66">
        <w:trPr>
          <w:trHeight w:val="255"/>
        </w:trPr>
        <w:tc>
          <w:tcPr>
            <w:tcW w:w="3211" w:type="dxa"/>
          </w:tcPr>
          <w:p w14:paraId="78B774EC" w14:textId="2B67B165" w:rsidR="00D91E5C" w:rsidRPr="00D91E5C" w:rsidRDefault="00616E08" w:rsidP="00D91E5C">
            <w:pPr>
              <w:rPr>
                <w:lang w:eastAsia="en-US"/>
              </w:rPr>
            </w:pPr>
            <w:r>
              <w:rPr>
                <w:lang w:eastAsia="en-US"/>
              </w:rPr>
              <w:t>Regulations for building systems.</w:t>
            </w:r>
          </w:p>
        </w:tc>
        <w:tc>
          <w:tcPr>
            <w:tcW w:w="3087" w:type="dxa"/>
          </w:tcPr>
          <w:p w14:paraId="310D6C95" w14:textId="2A421518" w:rsidR="00D91E5C" w:rsidRPr="00D91E5C" w:rsidRDefault="00D91E5C" w:rsidP="00D91E5C">
            <w:pPr>
              <w:rPr>
                <w:lang w:eastAsia="en-US"/>
              </w:rPr>
            </w:pPr>
            <w:r w:rsidRPr="00D91E5C">
              <w:rPr>
                <w:lang w:eastAsia="en-US"/>
              </w:rPr>
              <w:t>International Building Code</w:t>
            </w:r>
          </w:p>
        </w:tc>
        <w:tc>
          <w:tcPr>
            <w:tcW w:w="6591" w:type="dxa"/>
          </w:tcPr>
          <w:p w14:paraId="6B0B6ADD" w14:textId="07D48B13" w:rsidR="00D91E5C" w:rsidRPr="00D91E5C" w:rsidRDefault="002E09B2" w:rsidP="00D91E5C">
            <w:pPr>
              <w:rPr>
                <w:lang w:eastAsia="en-US"/>
              </w:rPr>
            </w:pPr>
            <w:r w:rsidRPr="002E09B2">
              <w:rPr>
                <w:lang w:eastAsia="en-US"/>
              </w:rPr>
              <w:t>http://publicecodes.cyberregs.com/icod/ibc/</w:t>
            </w:r>
          </w:p>
        </w:tc>
      </w:tr>
      <w:tr w:rsidR="00D91E5C" w14:paraId="42B2F2F5" w14:textId="77777777" w:rsidTr="00315B66">
        <w:trPr>
          <w:trHeight w:val="255"/>
        </w:trPr>
        <w:tc>
          <w:tcPr>
            <w:tcW w:w="3211" w:type="dxa"/>
          </w:tcPr>
          <w:p w14:paraId="625BCF6E" w14:textId="5642F90D" w:rsidR="00D91E5C" w:rsidRPr="00D91E5C" w:rsidRDefault="00616E08" w:rsidP="00616E08">
            <w:pPr>
              <w:rPr>
                <w:lang w:eastAsia="en-US"/>
              </w:rPr>
            </w:pPr>
            <w:r>
              <w:rPr>
                <w:lang w:eastAsia="en-US"/>
              </w:rPr>
              <w:t>Regulations for fuel gas systems and gas-fired appliances.</w:t>
            </w:r>
          </w:p>
        </w:tc>
        <w:tc>
          <w:tcPr>
            <w:tcW w:w="3087" w:type="dxa"/>
          </w:tcPr>
          <w:p w14:paraId="77318F9E" w14:textId="007A61C5" w:rsidR="00D91E5C" w:rsidRPr="00D91E5C" w:rsidRDefault="00D91E5C" w:rsidP="00D91E5C">
            <w:pPr>
              <w:rPr>
                <w:lang w:eastAsia="en-US"/>
              </w:rPr>
            </w:pPr>
            <w:r w:rsidRPr="00D91E5C">
              <w:rPr>
                <w:lang w:eastAsia="en-US"/>
              </w:rPr>
              <w:t>International Fuel Gas Code</w:t>
            </w:r>
          </w:p>
        </w:tc>
        <w:tc>
          <w:tcPr>
            <w:tcW w:w="6591" w:type="dxa"/>
          </w:tcPr>
          <w:p w14:paraId="435F8660" w14:textId="268C102C" w:rsidR="00D91E5C" w:rsidRPr="00D91E5C" w:rsidRDefault="00616E08" w:rsidP="00D91E5C">
            <w:pPr>
              <w:rPr>
                <w:lang w:eastAsia="en-US"/>
              </w:rPr>
            </w:pPr>
            <w:r w:rsidRPr="00616E08">
              <w:rPr>
                <w:lang w:eastAsia="en-US"/>
              </w:rPr>
              <w:t>http://publicecodes.cyberregs.com/icod/ifgc/</w:t>
            </w:r>
          </w:p>
        </w:tc>
      </w:tr>
      <w:tr w:rsidR="00D91E5C" w14:paraId="445219B1" w14:textId="77777777" w:rsidTr="00315B66">
        <w:trPr>
          <w:trHeight w:val="255"/>
        </w:trPr>
        <w:tc>
          <w:tcPr>
            <w:tcW w:w="3211" w:type="dxa"/>
          </w:tcPr>
          <w:p w14:paraId="661F71ED" w14:textId="6D5B1FBB" w:rsidR="00D91E5C" w:rsidRPr="00D91E5C" w:rsidRDefault="00616E08" w:rsidP="00D91E5C">
            <w:pPr>
              <w:rPr>
                <w:lang w:eastAsia="en-US"/>
              </w:rPr>
            </w:pPr>
            <w:r>
              <w:rPr>
                <w:lang w:eastAsia="en-US"/>
              </w:rPr>
              <w:t>Regulations for one- and two-family dwellings.</w:t>
            </w:r>
          </w:p>
        </w:tc>
        <w:tc>
          <w:tcPr>
            <w:tcW w:w="3087" w:type="dxa"/>
          </w:tcPr>
          <w:p w14:paraId="5F627187" w14:textId="556EE29A" w:rsidR="00D91E5C" w:rsidRPr="00D91E5C" w:rsidRDefault="00D91E5C" w:rsidP="00D91E5C">
            <w:pPr>
              <w:rPr>
                <w:lang w:eastAsia="en-US"/>
              </w:rPr>
            </w:pPr>
            <w:r w:rsidRPr="00D91E5C">
              <w:rPr>
                <w:lang w:eastAsia="en-US"/>
              </w:rPr>
              <w:t>International Residential Code</w:t>
            </w:r>
          </w:p>
        </w:tc>
        <w:tc>
          <w:tcPr>
            <w:tcW w:w="6591" w:type="dxa"/>
          </w:tcPr>
          <w:p w14:paraId="5EAA3F7A" w14:textId="236416DF" w:rsidR="00D91E5C" w:rsidRPr="00D91E5C" w:rsidRDefault="00616E08" w:rsidP="00D91E5C">
            <w:pPr>
              <w:rPr>
                <w:lang w:eastAsia="en-US"/>
              </w:rPr>
            </w:pPr>
            <w:r w:rsidRPr="00616E08">
              <w:rPr>
                <w:lang w:eastAsia="en-US"/>
              </w:rPr>
              <w:t>http://publicecodes.cyberregs.com/icod/irc/</w:t>
            </w:r>
          </w:p>
        </w:tc>
      </w:tr>
    </w:tbl>
    <w:p w14:paraId="068BC29D" w14:textId="77777777" w:rsidR="0088061E" w:rsidRPr="00C32D78" w:rsidRDefault="0088061E" w:rsidP="0088061E">
      <w:pPr>
        <w:rPr>
          <w:lang w:eastAsia="en-US"/>
        </w:rPr>
      </w:pPr>
    </w:p>
    <w:p w14:paraId="3AB5A740" w14:textId="77777777" w:rsidR="0088061E" w:rsidRDefault="0088061E" w:rsidP="0088061E">
      <w:pPr>
        <w:rPr>
          <w:lang w:eastAsia="en-US"/>
        </w:rPr>
      </w:pPr>
    </w:p>
    <w:p w14:paraId="0C432605" w14:textId="77777777" w:rsidR="00C32D78" w:rsidRPr="00C32D78" w:rsidRDefault="00C32D78" w:rsidP="00C32D78">
      <w:pPr>
        <w:rPr>
          <w:lang w:eastAsia="en-US"/>
        </w:rPr>
      </w:pPr>
    </w:p>
    <w:p w14:paraId="600A11B0" w14:textId="77777777" w:rsidR="00C32D78" w:rsidRDefault="00C32D78" w:rsidP="00C32D78">
      <w:pPr>
        <w:rPr>
          <w:lang w:eastAsia="en-US"/>
        </w:rPr>
      </w:pPr>
    </w:p>
    <w:p w14:paraId="540C358B" w14:textId="77777777" w:rsidR="00C32D78" w:rsidRPr="00C32D78" w:rsidRDefault="00C32D78" w:rsidP="00C32D78">
      <w:pPr>
        <w:rPr>
          <w:lang w:eastAsia="en-US"/>
        </w:rPr>
      </w:pPr>
    </w:p>
    <w:p w14:paraId="79DD1CFB" w14:textId="77777777" w:rsidR="00C32D78" w:rsidRPr="00C32D78" w:rsidRDefault="00C32D78" w:rsidP="00C32D78">
      <w:pPr>
        <w:rPr>
          <w:lang w:eastAsia="en-US"/>
        </w:rPr>
      </w:pPr>
    </w:p>
    <w:p w14:paraId="4F13D84C" w14:textId="77777777" w:rsidR="00C32D78" w:rsidRPr="00C32D78" w:rsidRDefault="00C32D78" w:rsidP="00C32D78">
      <w:pPr>
        <w:rPr>
          <w:lang w:eastAsia="en-US"/>
        </w:rPr>
      </w:pPr>
    </w:p>
    <w:p w14:paraId="70857444" w14:textId="77777777" w:rsidR="00C32D78" w:rsidRPr="00C32D78" w:rsidRDefault="00C32D78" w:rsidP="00C32D78">
      <w:pPr>
        <w:rPr>
          <w:lang w:eastAsia="en-US"/>
        </w:rPr>
      </w:pPr>
    </w:p>
    <w:p w14:paraId="23DA14C7" w14:textId="4ACA4E16" w:rsidR="0033337A" w:rsidRPr="00C32D78" w:rsidRDefault="0033337A" w:rsidP="00C32D78">
      <w:pPr>
        <w:rPr>
          <w:lang w:eastAsia="en-US"/>
        </w:rPr>
      </w:pPr>
    </w:p>
    <w:sectPr w:rsidR="0033337A" w:rsidRPr="00C32D78" w:rsidSect="00E6093B">
      <w:footerReference w:type="default" r:id="rId18"/>
      <w:pgSz w:w="15840" w:h="12240" w:orient="landscape"/>
      <w:pgMar w:top="1440" w:right="1800" w:bottom="1440" w:left="117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ura Capps" w:date="2016-05-19T07:53:00Z" w:initials="LC">
    <w:p w14:paraId="225CEFC5" w14:textId="77777777" w:rsidR="00D91E5C" w:rsidRDefault="00D91E5C">
      <w:pPr>
        <w:pStyle w:val="CommentText"/>
      </w:pPr>
      <w:r>
        <w:rPr>
          <w:rStyle w:val="CommentReference"/>
        </w:rPr>
        <w:annotationRef/>
      </w:r>
      <w:r>
        <w:t>Alex to update this table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F055AC" w15:done="0"/>
  <w15:commentEx w15:paraId="225CEFC5"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C1E2C" w14:textId="77777777" w:rsidR="00905BA5" w:rsidRDefault="00905BA5" w:rsidP="00960EB7">
      <w:pPr>
        <w:spacing w:after="0" w:line="240" w:lineRule="auto"/>
      </w:pPr>
      <w:r>
        <w:separator/>
      </w:r>
    </w:p>
  </w:endnote>
  <w:endnote w:type="continuationSeparator" w:id="0">
    <w:p w14:paraId="21B91AE7" w14:textId="77777777" w:rsidR="00905BA5" w:rsidRDefault="00905BA5" w:rsidP="0096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179662"/>
      <w:docPartObj>
        <w:docPartGallery w:val="Page Numbers (Bottom of Page)"/>
        <w:docPartUnique/>
      </w:docPartObj>
    </w:sdtPr>
    <w:sdtEndPr/>
    <w:sdtContent>
      <w:sdt>
        <w:sdtPr>
          <w:id w:val="-1769616900"/>
          <w:docPartObj>
            <w:docPartGallery w:val="Page Numbers (Top of Page)"/>
            <w:docPartUnique/>
          </w:docPartObj>
        </w:sdtPr>
        <w:sdtEndPr/>
        <w:sdtContent>
          <w:p w14:paraId="769974C6" w14:textId="41A60D36" w:rsidR="00E6093B" w:rsidRDefault="00C76661">
            <w:pPr>
              <w:pStyle w:val="Footer"/>
              <w:jc w:val="right"/>
            </w:pPr>
            <w:r>
              <w:t>May</w:t>
            </w:r>
            <w:r w:rsidR="00E6093B">
              <w:t xml:space="preserve"> 2016</w:t>
            </w:r>
            <w:r w:rsidR="00E6093B">
              <w:tab/>
            </w:r>
            <w:r w:rsidR="00E6093B">
              <w:tab/>
              <w:t xml:space="preserve">Page </w:t>
            </w:r>
            <w:r w:rsidR="00E6093B">
              <w:rPr>
                <w:b/>
                <w:bCs/>
                <w:sz w:val="24"/>
                <w:szCs w:val="24"/>
              </w:rPr>
              <w:fldChar w:fldCharType="begin"/>
            </w:r>
            <w:r w:rsidR="00E6093B">
              <w:rPr>
                <w:b/>
                <w:bCs/>
              </w:rPr>
              <w:instrText xml:space="preserve"> PAGE </w:instrText>
            </w:r>
            <w:r w:rsidR="00E6093B">
              <w:rPr>
                <w:b/>
                <w:bCs/>
                <w:sz w:val="24"/>
                <w:szCs w:val="24"/>
              </w:rPr>
              <w:fldChar w:fldCharType="separate"/>
            </w:r>
            <w:r w:rsidR="003A5C12">
              <w:rPr>
                <w:b/>
                <w:bCs/>
                <w:noProof/>
              </w:rPr>
              <w:t>2</w:t>
            </w:r>
            <w:r w:rsidR="00E6093B">
              <w:rPr>
                <w:b/>
                <w:bCs/>
                <w:sz w:val="24"/>
                <w:szCs w:val="24"/>
              </w:rPr>
              <w:fldChar w:fldCharType="end"/>
            </w:r>
            <w:r w:rsidR="00E6093B">
              <w:t xml:space="preserve"> of </w:t>
            </w:r>
            <w:r w:rsidR="00E6093B">
              <w:rPr>
                <w:b/>
                <w:bCs/>
                <w:sz w:val="24"/>
                <w:szCs w:val="24"/>
              </w:rPr>
              <w:fldChar w:fldCharType="begin"/>
            </w:r>
            <w:r w:rsidR="00E6093B">
              <w:rPr>
                <w:b/>
                <w:bCs/>
              </w:rPr>
              <w:instrText xml:space="preserve"> NUMPAGES  </w:instrText>
            </w:r>
            <w:r w:rsidR="00E6093B">
              <w:rPr>
                <w:b/>
                <w:bCs/>
                <w:sz w:val="24"/>
                <w:szCs w:val="24"/>
              </w:rPr>
              <w:fldChar w:fldCharType="separate"/>
            </w:r>
            <w:r w:rsidR="003A5C12">
              <w:rPr>
                <w:b/>
                <w:bCs/>
                <w:noProof/>
              </w:rPr>
              <w:t>4</w:t>
            </w:r>
            <w:r w:rsidR="00E6093B">
              <w:rPr>
                <w:b/>
                <w:bCs/>
                <w:sz w:val="24"/>
                <w:szCs w:val="24"/>
              </w:rPr>
              <w:fldChar w:fldCharType="end"/>
            </w:r>
          </w:p>
        </w:sdtContent>
      </w:sdt>
    </w:sdtContent>
  </w:sdt>
  <w:p w14:paraId="48E48ADB" w14:textId="65B8797D" w:rsidR="00840D52" w:rsidRPr="00924F82" w:rsidRDefault="00840D52">
    <w:pPr>
      <w:pStyle w:val="Footer"/>
      <w:rPr>
        <w:rFonts w:ascii="Franklin Gothic Book" w:hAnsi="Franklin Gothic Book"/>
        <w:spacing w:val="18"/>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1F89D" w14:textId="77777777" w:rsidR="00840D52" w:rsidRPr="00BB1AB7" w:rsidRDefault="00840D52" w:rsidP="00B506B7">
    <w:pPr>
      <w:pStyle w:val="Footer"/>
      <w:rPr>
        <w:rFonts w:ascii="Franklin Gothic Book" w:hAnsi="Franklin Gothic Book"/>
        <w:spacing w:val="18"/>
        <w:sz w:val="16"/>
        <w:szCs w:val="16"/>
      </w:rPr>
    </w:pPr>
    <w:r w:rsidRPr="00BB1AB7">
      <w:rPr>
        <w:rFonts w:ascii="Franklin Gothic Book" w:hAnsi="Franklin Gothic Book"/>
        <w:b/>
        <w:spacing w:val="18"/>
        <w:sz w:val="16"/>
        <w:szCs w:val="16"/>
      </w:rPr>
      <w:t>Southface</w:t>
    </w:r>
  </w:p>
  <w:p w14:paraId="587BA9A7" w14:textId="77777777" w:rsidR="00840D52" w:rsidRPr="00B506B7" w:rsidRDefault="00840D52">
    <w:pPr>
      <w:pStyle w:val="Footer"/>
      <w:rPr>
        <w:rFonts w:ascii="Franklin Gothic Book" w:hAnsi="Franklin Gothic Book"/>
        <w:spacing w:val="18"/>
        <w:sz w:val="16"/>
        <w:szCs w:val="16"/>
      </w:rPr>
    </w:pPr>
    <w:r w:rsidRPr="00BB1AB7">
      <w:rPr>
        <w:rFonts w:ascii="Franklin Gothic Book" w:hAnsi="Franklin Gothic Book"/>
        <w:spacing w:val="18"/>
        <w:sz w:val="16"/>
        <w:szCs w:val="16"/>
      </w:rPr>
      <w:t xml:space="preserve">241 Pine Street NE, Atlanta, Georgia 30308 • </w:t>
    </w:r>
    <w:r w:rsidRPr="00BB1AB7">
      <w:rPr>
        <w:rFonts w:ascii="Franklin Gothic Book" w:hAnsi="Franklin Gothic Book"/>
        <w:spacing w:val="18"/>
        <w:sz w:val="14"/>
        <w:szCs w:val="14"/>
      </w:rPr>
      <w:t>PHONE</w:t>
    </w:r>
    <w:r w:rsidRPr="00BB1AB7">
      <w:rPr>
        <w:rFonts w:ascii="Franklin Gothic Book" w:hAnsi="Franklin Gothic Book"/>
        <w:spacing w:val="18"/>
        <w:sz w:val="16"/>
        <w:szCs w:val="16"/>
      </w:rPr>
      <w:t xml:space="preserve"> 404/872-3549, </w:t>
    </w:r>
    <w:r w:rsidRPr="00BB1AB7">
      <w:rPr>
        <w:rFonts w:ascii="Franklin Gothic Book" w:hAnsi="Franklin Gothic Book"/>
        <w:spacing w:val="18"/>
        <w:sz w:val="14"/>
        <w:szCs w:val="14"/>
      </w:rPr>
      <w:t>FAX</w:t>
    </w:r>
    <w:r w:rsidRPr="00BB1AB7">
      <w:rPr>
        <w:rFonts w:ascii="Franklin Gothic Book" w:hAnsi="Franklin Gothic Book"/>
        <w:spacing w:val="18"/>
        <w:sz w:val="16"/>
        <w:szCs w:val="16"/>
      </w:rPr>
      <w:t xml:space="preserve"> 4</w:t>
    </w:r>
    <w:r>
      <w:rPr>
        <w:rFonts w:ascii="Franklin Gothic Book" w:hAnsi="Franklin Gothic Book"/>
        <w:spacing w:val="18"/>
        <w:sz w:val="16"/>
        <w:szCs w:val="16"/>
      </w:rPr>
      <w:t>04/872-5009 • www.southface.org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258928"/>
      <w:docPartObj>
        <w:docPartGallery w:val="Page Numbers (Bottom of Page)"/>
        <w:docPartUnique/>
      </w:docPartObj>
    </w:sdtPr>
    <w:sdtEndPr/>
    <w:sdtContent>
      <w:sdt>
        <w:sdtPr>
          <w:id w:val="-36670298"/>
          <w:docPartObj>
            <w:docPartGallery w:val="Page Numbers (Top of Page)"/>
            <w:docPartUnique/>
          </w:docPartObj>
        </w:sdtPr>
        <w:sdtEndPr/>
        <w:sdtContent>
          <w:p w14:paraId="2D2405CB" w14:textId="730D12F4" w:rsidR="00A04F1B" w:rsidRDefault="00A04F1B" w:rsidP="00A04F1B">
            <w:pPr>
              <w:pStyle w:val="Footer"/>
              <w:jc w:val="center"/>
            </w:pPr>
            <w:r>
              <w:t>April 2016</w:t>
            </w:r>
            <w:r>
              <w:tab/>
            </w:r>
            <w:r>
              <w:tab/>
            </w:r>
            <w:r>
              <w:tab/>
              <w:t xml:space="preserve">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A5C1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5C12">
              <w:rPr>
                <w:b/>
                <w:bCs/>
                <w:noProof/>
              </w:rPr>
              <w:t>4</w:t>
            </w:r>
            <w:r>
              <w:rPr>
                <w:b/>
                <w:bCs/>
                <w:sz w:val="24"/>
                <w:szCs w:val="24"/>
              </w:rPr>
              <w:fldChar w:fldCharType="end"/>
            </w:r>
          </w:p>
        </w:sdtContent>
      </w:sdt>
    </w:sdtContent>
  </w:sdt>
  <w:p w14:paraId="59FF0354" w14:textId="77777777" w:rsidR="00A04F1B" w:rsidRPr="00924F82" w:rsidRDefault="00A04F1B">
    <w:pPr>
      <w:pStyle w:val="Footer"/>
      <w:rPr>
        <w:rFonts w:ascii="Franklin Gothic Book" w:hAnsi="Franklin Gothic Book"/>
        <w:spacing w:val="18"/>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C05CF" w14:textId="77777777" w:rsidR="00905BA5" w:rsidRDefault="00905BA5" w:rsidP="00960EB7">
      <w:pPr>
        <w:spacing w:after="0" w:line="240" w:lineRule="auto"/>
      </w:pPr>
      <w:r>
        <w:separator/>
      </w:r>
    </w:p>
  </w:footnote>
  <w:footnote w:type="continuationSeparator" w:id="0">
    <w:p w14:paraId="2E37912B" w14:textId="77777777" w:rsidR="00905BA5" w:rsidRDefault="00905BA5" w:rsidP="00960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97459" w14:textId="77777777" w:rsidR="00840D52" w:rsidRDefault="00840D52">
    <w:pPr>
      <w:pStyle w:val="Header"/>
    </w:pPr>
  </w:p>
  <w:p w14:paraId="305128B7" w14:textId="7FBFC6AB" w:rsidR="00840D52" w:rsidRDefault="00E6093B">
    <w:pPr>
      <w:pStyle w:val="Header"/>
    </w:pPr>
    <w:r>
      <w:t xml:space="preserve">Southface Small Commercial </w:t>
    </w:r>
    <w:r w:rsidR="002C4699">
      <w:t>Combustion Appliance</w:t>
    </w:r>
    <w:r>
      <w:t xml:space="preserve"> Toolkit Introduction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F9C01" w14:textId="77777777" w:rsidR="00840D52" w:rsidRDefault="00840D52">
    <w:pPr>
      <w:pStyle w:val="Header"/>
    </w:pPr>
    <w:r>
      <w:rPr>
        <w:noProof/>
        <w:lang w:eastAsia="en-US"/>
      </w:rPr>
      <w:drawing>
        <wp:anchor distT="0" distB="0" distL="114300" distR="114300" simplePos="0" relativeHeight="251659264" behindDoc="0" locked="0" layoutInCell="1" allowOverlap="1" wp14:anchorId="67425FC1" wp14:editId="78606B44">
          <wp:simplePos x="0" y="0"/>
          <wp:positionH relativeFrom="column">
            <wp:posOffset>-904875</wp:posOffset>
          </wp:positionH>
          <wp:positionV relativeFrom="paragraph">
            <wp:posOffset>-333375</wp:posOffset>
          </wp:positionV>
          <wp:extent cx="7772400" cy="1228725"/>
          <wp:effectExtent l="0" t="0" r="0" b="0"/>
          <wp:wrapNone/>
          <wp:docPr id="3" name="Picture 0" descr="SF-letterhead-banner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letterhead-bannerart.jpg"/>
                  <pic:cNvPicPr/>
                </pic:nvPicPr>
                <pic:blipFill>
                  <a:blip r:embed="rId1"/>
                  <a:stretch>
                    <a:fillRect/>
                  </a:stretch>
                </pic:blipFill>
                <pic:spPr>
                  <a:xfrm>
                    <a:off x="0" y="0"/>
                    <a:ext cx="7772400" cy="12287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2D7A"/>
    <w:multiLevelType w:val="hybridMultilevel"/>
    <w:tmpl w:val="E092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Capps">
    <w15:presenceInfo w15:providerId="AD" w15:userId="S-1-5-21-823518204-73586283-839522115-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useFELayout/>
    <w:compatSetting w:name="compatibilityMode" w:uri="http://schemas.microsoft.com/office/word" w:val="12"/>
  </w:compat>
  <w:rsids>
    <w:rsidRoot w:val="00B8324B"/>
    <w:rsid w:val="00043363"/>
    <w:rsid w:val="00043593"/>
    <w:rsid w:val="0006636B"/>
    <w:rsid w:val="00103F83"/>
    <w:rsid w:val="0010707B"/>
    <w:rsid w:val="00114AFA"/>
    <w:rsid w:val="0011778A"/>
    <w:rsid w:val="001243AF"/>
    <w:rsid w:val="001626A5"/>
    <w:rsid w:val="00190B06"/>
    <w:rsid w:val="001B2374"/>
    <w:rsid w:val="001B517E"/>
    <w:rsid w:val="001B659C"/>
    <w:rsid w:val="001F4C1B"/>
    <w:rsid w:val="001F63FB"/>
    <w:rsid w:val="0022119F"/>
    <w:rsid w:val="00227ED4"/>
    <w:rsid w:val="002C4699"/>
    <w:rsid w:val="002C7CCB"/>
    <w:rsid w:val="002E09B2"/>
    <w:rsid w:val="00315B66"/>
    <w:rsid w:val="0033337A"/>
    <w:rsid w:val="003A5C12"/>
    <w:rsid w:val="00434440"/>
    <w:rsid w:val="004439FF"/>
    <w:rsid w:val="00466EEB"/>
    <w:rsid w:val="005045D7"/>
    <w:rsid w:val="00566C9E"/>
    <w:rsid w:val="005776EA"/>
    <w:rsid w:val="00616E08"/>
    <w:rsid w:val="00623C59"/>
    <w:rsid w:val="00667C5C"/>
    <w:rsid w:val="00687D1B"/>
    <w:rsid w:val="00694C94"/>
    <w:rsid w:val="006B5203"/>
    <w:rsid w:val="007277C9"/>
    <w:rsid w:val="0074697A"/>
    <w:rsid w:val="0075785B"/>
    <w:rsid w:val="007901BA"/>
    <w:rsid w:val="007A5701"/>
    <w:rsid w:val="007D2B85"/>
    <w:rsid w:val="007E3D80"/>
    <w:rsid w:val="007F71E6"/>
    <w:rsid w:val="00840D52"/>
    <w:rsid w:val="0088061E"/>
    <w:rsid w:val="008C046B"/>
    <w:rsid w:val="00905BA5"/>
    <w:rsid w:val="00924F82"/>
    <w:rsid w:val="00960EB7"/>
    <w:rsid w:val="009711A0"/>
    <w:rsid w:val="009B1C96"/>
    <w:rsid w:val="00A04F1B"/>
    <w:rsid w:val="00A426CE"/>
    <w:rsid w:val="00A50F3C"/>
    <w:rsid w:val="00A60346"/>
    <w:rsid w:val="00A70E1C"/>
    <w:rsid w:val="00A83F5A"/>
    <w:rsid w:val="00A92475"/>
    <w:rsid w:val="00AC2182"/>
    <w:rsid w:val="00AD4F8B"/>
    <w:rsid w:val="00B24699"/>
    <w:rsid w:val="00B35082"/>
    <w:rsid w:val="00B437DC"/>
    <w:rsid w:val="00B506B7"/>
    <w:rsid w:val="00B8324B"/>
    <w:rsid w:val="00BC0851"/>
    <w:rsid w:val="00C07684"/>
    <w:rsid w:val="00C25DC2"/>
    <w:rsid w:val="00C32D78"/>
    <w:rsid w:val="00C76661"/>
    <w:rsid w:val="00CC4591"/>
    <w:rsid w:val="00D3687A"/>
    <w:rsid w:val="00D45E25"/>
    <w:rsid w:val="00D5544D"/>
    <w:rsid w:val="00D91E5C"/>
    <w:rsid w:val="00DD2AE2"/>
    <w:rsid w:val="00E37896"/>
    <w:rsid w:val="00E535AF"/>
    <w:rsid w:val="00E6093B"/>
    <w:rsid w:val="00EA4017"/>
    <w:rsid w:val="00EB1E45"/>
    <w:rsid w:val="00F04F02"/>
    <w:rsid w:val="00F44FA7"/>
    <w:rsid w:val="00F76886"/>
    <w:rsid w:val="00FC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0B0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FF"/>
  </w:style>
  <w:style w:type="paragraph" w:styleId="Heading1">
    <w:name w:val="heading 1"/>
    <w:aliases w:val="1 Heading"/>
    <w:basedOn w:val="Normal"/>
    <w:next w:val="Normal"/>
    <w:link w:val="Heading1Char"/>
    <w:uiPriority w:val="9"/>
    <w:qFormat/>
    <w:rsid w:val="001B659C"/>
    <w:pPr>
      <w:spacing w:line="240" w:lineRule="auto"/>
      <w:outlineLvl w:val="0"/>
    </w:pPr>
    <w:rPr>
      <w:b/>
      <w:color w:val="808080" w:themeColor="background1" w:themeShade="80"/>
      <w:spacing w:val="-3"/>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EB7"/>
  </w:style>
  <w:style w:type="paragraph" w:styleId="Footer">
    <w:name w:val="footer"/>
    <w:basedOn w:val="Normal"/>
    <w:link w:val="FooterChar"/>
    <w:uiPriority w:val="99"/>
    <w:unhideWhenUsed/>
    <w:rsid w:val="00960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EB7"/>
  </w:style>
  <w:style w:type="paragraph" w:styleId="BalloonText">
    <w:name w:val="Balloon Text"/>
    <w:basedOn w:val="Normal"/>
    <w:link w:val="BalloonTextChar"/>
    <w:uiPriority w:val="99"/>
    <w:semiHidden/>
    <w:unhideWhenUsed/>
    <w:rsid w:val="00960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B7"/>
    <w:rPr>
      <w:rFonts w:ascii="Tahoma" w:hAnsi="Tahoma" w:cs="Tahoma"/>
      <w:sz w:val="16"/>
      <w:szCs w:val="16"/>
    </w:rPr>
  </w:style>
  <w:style w:type="paragraph" w:customStyle="1" w:styleId="BasicParagraph">
    <w:name w:val="[Basic Paragraph]"/>
    <w:basedOn w:val="Normal"/>
    <w:uiPriority w:val="99"/>
    <w:rsid w:val="00B506B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NormalWeb">
    <w:name w:val="Normal (Web)"/>
    <w:basedOn w:val="Normal"/>
    <w:uiPriority w:val="99"/>
    <w:unhideWhenUsed/>
    <w:rsid w:val="00A50F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63FB"/>
    <w:rPr>
      <w:color w:val="0000FF" w:themeColor="hyperlink"/>
      <w:u w:val="single"/>
    </w:rPr>
  </w:style>
  <w:style w:type="character" w:styleId="FollowedHyperlink">
    <w:name w:val="FollowedHyperlink"/>
    <w:basedOn w:val="DefaultParagraphFont"/>
    <w:uiPriority w:val="99"/>
    <w:semiHidden/>
    <w:unhideWhenUsed/>
    <w:rsid w:val="00694C94"/>
    <w:rPr>
      <w:color w:val="800080" w:themeColor="followedHyperlink"/>
      <w:u w:val="single"/>
    </w:rPr>
  </w:style>
  <w:style w:type="paragraph" w:styleId="ListParagraph">
    <w:name w:val="List Paragraph"/>
    <w:basedOn w:val="Normal"/>
    <w:uiPriority w:val="34"/>
    <w:qFormat/>
    <w:rsid w:val="00F76886"/>
    <w:pPr>
      <w:ind w:left="720"/>
      <w:contextualSpacing/>
    </w:pPr>
  </w:style>
  <w:style w:type="character" w:styleId="CommentReference">
    <w:name w:val="annotation reference"/>
    <w:basedOn w:val="DefaultParagraphFont"/>
    <w:uiPriority w:val="99"/>
    <w:unhideWhenUsed/>
    <w:rsid w:val="00BC0851"/>
    <w:rPr>
      <w:sz w:val="16"/>
      <w:szCs w:val="16"/>
    </w:rPr>
  </w:style>
  <w:style w:type="paragraph" w:styleId="CommentText">
    <w:name w:val="annotation text"/>
    <w:basedOn w:val="Normal"/>
    <w:link w:val="CommentTextChar"/>
    <w:uiPriority w:val="99"/>
    <w:unhideWhenUsed/>
    <w:rsid w:val="00BC0851"/>
    <w:pPr>
      <w:spacing w:line="240" w:lineRule="auto"/>
    </w:pPr>
    <w:rPr>
      <w:sz w:val="20"/>
      <w:szCs w:val="20"/>
    </w:rPr>
  </w:style>
  <w:style w:type="character" w:customStyle="1" w:styleId="CommentTextChar">
    <w:name w:val="Comment Text Char"/>
    <w:basedOn w:val="DefaultParagraphFont"/>
    <w:link w:val="CommentText"/>
    <w:uiPriority w:val="99"/>
    <w:rsid w:val="00BC0851"/>
    <w:rPr>
      <w:sz w:val="20"/>
      <w:szCs w:val="20"/>
    </w:rPr>
  </w:style>
  <w:style w:type="paragraph" w:styleId="CommentSubject">
    <w:name w:val="annotation subject"/>
    <w:basedOn w:val="CommentText"/>
    <w:next w:val="CommentText"/>
    <w:link w:val="CommentSubjectChar"/>
    <w:uiPriority w:val="99"/>
    <w:semiHidden/>
    <w:unhideWhenUsed/>
    <w:rsid w:val="00BC0851"/>
    <w:rPr>
      <w:b/>
      <w:bCs/>
    </w:rPr>
  </w:style>
  <w:style w:type="character" w:customStyle="1" w:styleId="CommentSubjectChar">
    <w:name w:val="Comment Subject Char"/>
    <w:basedOn w:val="CommentTextChar"/>
    <w:link w:val="CommentSubject"/>
    <w:uiPriority w:val="99"/>
    <w:semiHidden/>
    <w:rsid w:val="00BC0851"/>
    <w:rPr>
      <w:b/>
      <w:bCs/>
      <w:sz w:val="20"/>
      <w:szCs w:val="20"/>
    </w:rPr>
  </w:style>
  <w:style w:type="table" w:styleId="TableGrid">
    <w:name w:val="Table Grid"/>
    <w:basedOn w:val="TableNormal"/>
    <w:uiPriority w:val="59"/>
    <w:rsid w:val="007E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B659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1B659C"/>
    <w:rPr>
      <w:color w:val="5A5A5A" w:themeColor="text1" w:themeTint="A5"/>
      <w:spacing w:val="15"/>
    </w:rPr>
  </w:style>
  <w:style w:type="paragraph" w:styleId="NoSpacing">
    <w:name w:val="No Spacing"/>
    <w:uiPriority w:val="1"/>
    <w:qFormat/>
    <w:rsid w:val="001B659C"/>
    <w:pPr>
      <w:spacing w:after="0" w:line="240" w:lineRule="auto"/>
    </w:pPr>
  </w:style>
  <w:style w:type="character" w:customStyle="1" w:styleId="Heading1Char">
    <w:name w:val="Heading 1 Char"/>
    <w:aliases w:val="1 Heading Char"/>
    <w:basedOn w:val="DefaultParagraphFont"/>
    <w:link w:val="Heading1"/>
    <w:uiPriority w:val="9"/>
    <w:rsid w:val="001B659C"/>
    <w:rPr>
      <w:b/>
      <w:color w:val="808080" w:themeColor="background1" w:themeShade="80"/>
      <w:spacing w:val="-3"/>
      <w:sz w:val="28"/>
      <w:szCs w:val="28"/>
      <w:lang w:eastAsia="en-US"/>
    </w:rPr>
  </w:style>
  <w:style w:type="paragraph" w:styleId="FootnoteText">
    <w:name w:val="footnote text"/>
    <w:basedOn w:val="Normal"/>
    <w:link w:val="FootnoteTextChar"/>
    <w:uiPriority w:val="99"/>
    <w:semiHidden/>
    <w:unhideWhenUsed/>
    <w:rsid w:val="00162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6A5"/>
    <w:rPr>
      <w:sz w:val="20"/>
      <w:szCs w:val="20"/>
    </w:rPr>
  </w:style>
  <w:style w:type="character" w:styleId="FootnoteReference">
    <w:name w:val="footnote reference"/>
    <w:basedOn w:val="DefaultParagraphFont"/>
    <w:uiPriority w:val="99"/>
    <w:semiHidden/>
    <w:unhideWhenUsed/>
    <w:rsid w:val="001626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26976">
      <w:bodyDiv w:val="1"/>
      <w:marLeft w:val="0"/>
      <w:marRight w:val="0"/>
      <w:marTop w:val="0"/>
      <w:marBottom w:val="0"/>
      <w:divBdr>
        <w:top w:val="none" w:sz="0" w:space="0" w:color="auto"/>
        <w:left w:val="none" w:sz="0" w:space="0" w:color="auto"/>
        <w:bottom w:val="none" w:sz="0" w:space="0" w:color="auto"/>
        <w:right w:val="none" w:sz="0" w:space="0" w:color="auto"/>
      </w:divBdr>
    </w:div>
    <w:div w:id="885607930">
      <w:bodyDiv w:val="1"/>
      <w:marLeft w:val="0"/>
      <w:marRight w:val="0"/>
      <w:marTop w:val="0"/>
      <w:marBottom w:val="0"/>
      <w:divBdr>
        <w:top w:val="none" w:sz="0" w:space="0" w:color="auto"/>
        <w:left w:val="none" w:sz="0" w:space="0" w:color="auto"/>
        <w:bottom w:val="none" w:sz="0" w:space="0" w:color="auto"/>
        <w:right w:val="none" w:sz="0" w:space="0" w:color="auto"/>
      </w:divBdr>
    </w:div>
    <w:div w:id="106217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www.surveygizmo.com/s3/2689567/ACBI-Toolkit-Feedback" TargetMode="Externa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southface.org/ACBI"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info@southface.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2DE0C-82F5-4F8A-8462-4C16922F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Lee</dc:creator>
  <cp:lastModifiedBy>Mike Barcik</cp:lastModifiedBy>
  <cp:revision>12</cp:revision>
  <dcterms:created xsi:type="dcterms:W3CDTF">2016-05-03T13:00:00Z</dcterms:created>
  <dcterms:modified xsi:type="dcterms:W3CDTF">2016-11-01T18:52:00Z</dcterms:modified>
</cp:coreProperties>
</file>